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45273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45273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4527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Полозова ул., д.11,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527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527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527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527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527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527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527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527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2139,27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527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1784,68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527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118,39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527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236,20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52734" w:rsidRPr="0045273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52734" w:rsidRPr="0045273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52734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2015-04-07T12:11:00Z</dcterms:modified>
</cp:coreProperties>
</file>