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3341CA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3341CA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3341C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Куйбышева ул., д.15,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Ж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341C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341C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341C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341C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341C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341C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341C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341C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440,70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341C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399,50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341C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341C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41,20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341CA" w:rsidRPr="003341CA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341CA" w:rsidRPr="003341CA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3341CA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2418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2015-04-03T08:26:00Z</dcterms:modified>
</cp:coreProperties>
</file>