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7542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7542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31,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</w:t>
            </w:r>
            <w:r w:rsidR="00A7542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A7542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A7542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A7542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2352,30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1855,90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249,40</w:t>
            </w:r>
          </w:p>
        </w:tc>
      </w:tr>
      <w:tr w:rsidR="00AF7751" w:rsidRPr="00AF7751" w:rsidTr="009B1EFD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B1E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542C" w:rsidRPr="00A7542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542C" w:rsidRPr="00A7542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B1EFD"/>
    <w:rsid w:val="00A7542C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2015-04-09T12:19:00Z</dcterms:modified>
</cp:coreProperties>
</file>